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79ED" w14:textId="2118CAE9" w:rsidR="00E16082" w:rsidRPr="0087538C" w:rsidRDefault="009248D8" w:rsidP="00BA63FB">
      <w:pPr>
        <w:jc w:val="center"/>
        <w:rPr>
          <w:rFonts w:ascii="Times New Roman" w:hAnsi="Times New Roman" w:cs="Times New Roman"/>
          <w:b/>
          <w:sz w:val="24"/>
          <w:szCs w:val="24"/>
        </w:rPr>
      </w:pPr>
      <w:bookmarkStart w:id="0" w:name="_GoBack"/>
      <w:bookmarkEnd w:id="0"/>
      <w:r w:rsidRPr="009248D8">
        <w:rPr>
          <w:rFonts w:ascii="Times New Roman" w:hAnsi="Times New Roman" w:cs="Times New Roman"/>
          <w:b/>
          <w:sz w:val="24"/>
          <w:szCs w:val="24"/>
        </w:rPr>
        <w:t>Негізгі функционалдық, техникалық талаптар және сипаттамалары</w:t>
      </w:r>
    </w:p>
    <w:p w14:paraId="6D817267" w14:textId="2CD87D98" w:rsidR="002B303B" w:rsidRPr="002B303B" w:rsidRDefault="009248D8" w:rsidP="009248D8">
      <w:pPr>
        <w:pStyle w:val="a3"/>
        <w:numPr>
          <w:ilvl w:val="0"/>
          <w:numId w:val="5"/>
        </w:numPr>
        <w:tabs>
          <w:tab w:val="left" w:pos="284"/>
        </w:tabs>
        <w:spacing w:after="0"/>
        <w:rPr>
          <w:rFonts w:ascii="Times New Roman" w:hAnsi="Times New Roman" w:cs="Times New Roman"/>
          <w:sz w:val="24"/>
          <w:szCs w:val="24"/>
        </w:rPr>
      </w:pPr>
      <w:r w:rsidRPr="009248D8">
        <w:rPr>
          <w:rFonts w:ascii="Times New Roman" w:hAnsi="Times New Roman" w:cs="Times New Roman"/>
          <w:b/>
          <w:sz w:val="24"/>
          <w:szCs w:val="24"/>
        </w:rPr>
        <w:t>Жалпы талаптар</w:t>
      </w:r>
    </w:p>
    <w:p w14:paraId="148ACBEB" w14:textId="0F5BD885"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 xml:space="preserve">1) </w:t>
      </w:r>
      <w:r>
        <w:rPr>
          <w:rFonts w:ascii="Times New Roman" w:hAnsi="Times New Roman" w:cs="Times New Roman"/>
          <w:sz w:val="24"/>
          <w:szCs w:val="24"/>
        </w:rPr>
        <w:t>«</w:t>
      </w:r>
      <w:r w:rsidRPr="009248D8">
        <w:rPr>
          <w:rFonts w:ascii="Times New Roman" w:hAnsi="Times New Roman" w:cs="Times New Roman"/>
          <w:sz w:val="24"/>
          <w:szCs w:val="24"/>
        </w:rPr>
        <w:t>AML</w:t>
      </w:r>
      <w:r>
        <w:rPr>
          <w:rFonts w:ascii="Times New Roman" w:hAnsi="Times New Roman" w:cs="Times New Roman"/>
          <w:sz w:val="24"/>
          <w:szCs w:val="24"/>
        </w:rPr>
        <w:t>»</w:t>
      </w:r>
      <w:r w:rsidRPr="009248D8">
        <w:rPr>
          <w:rFonts w:ascii="Times New Roman" w:hAnsi="Times New Roman" w:cs="Times New Roman"/>
          <w:sz w:val="24"/>
          <w:szCs w:val="24"/>
        </w:rPr>
        <w:t xml:space="preserve"> қаржы мониторингі жүйесі</w:t>
      </w:r>
      <w:r>
        <w:rPr>
          <w:rFonts w:ascii="Times New Roman" w:hAnsi="Times New Roman" w:cs="Times New Roman"/>
          <w:sz w:val="24"/>
          <w:szCs w:val="24"/>
        </w:rPr>
        <w:t>»</w:t>
      </w:r>
      <w:r w:rsidRPr="009248D8">
        <w:rPr>
          <w:rFonts w:ascii="Times New Roman" w:hAnsi="Times New Roman" w:cs="Times New Roman"/>
          <w:sz w:val="24"/>
          <w:szCs w:val="24"/>
        </w:rPr>
        <w:t xml:space="preserve"> бағдарламалық қамтамасыз етуді жетілдіру бойынша жұмыстарды орындау және жүйенің үздіксіз жұмысын қамтамасыз ету, сүйемелдеу бойынша қызметтер көрсету. Бұдан әрі есепті кезеңнің нәтижелері бойынша Орындалған жұмыстар актілеріне қол қоюды көздейтін жалпы шарт жасалады.</w:t>
      </w:r>
    </w:p>
    <w:p w14:paraId="2BBDBFE1" w14:textId="77777777" w:rsidR="009248D8" w:rsidRPr="009248D8" w:rsidRDefault="009248D8" w:rsidP="009248D8">
      <w:pPr>
        <w:tabs>
          <w:tab w:val="left" w:pos="284"/>
          <w:tab w:val="left" w:pos="426"/>
        </w:tabs>
        <w:ind w:left="720"/>
        <w:jc w:val="both"/>
        <w:rPr>
          <w:rFonts w:ascii="Times New Roman" w:hAnsi="Times New Roman" w:cs="Times New Roman"/>
          <w:b/>
          <w:sz w:val="24"/>
          <w:szCs w:val="24"/>
        </w:rPr>
      </w:pPr>
      <w:r w:rsidRPr="009248D8">
        <w:rPr>
          <w:rFonts w:ascii="Times New Roman" w:hAnsi="Times New Roman" w:cs="Times New Roman"/>
          <w:b/>
          <w:sz w:val="24"/>
          <w:szCs w:val="24"/>
        </w:rPr>
        <w:t>2. Қызметтер:</w:t>
      </w:r>
    </w:p>
    <w:p w14:paraId="2976D57C" w14:textId="5E8D552F"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 xml:space="preserve">1) </w:t>
      </w:r>
      <w:r>
        <w:rPr>
          <w:rFonts w:ascii="Times New Roman" w:hAnsi="Times New Roman" w:cs="Times New Roman"/>
          <w:sz w:val="24"/>
          <w:szCs w:val="24"/>
        </w:rPr>
        <w:t>«</w:t>
      </w:r>
      <w:r w:rsidRPr="009248D8">
        <w:rPr>
          <w:rFonts w:ascii="Times New Roman" w:hAnsi="Times New Roman" w:cs="Times New Roman"/>
          <w:sz w:val="24"/>
          <w:szCs w:val="24"/>
        </w:rPr>
        <w:t>AML</w:t>
      </w:r>
      <w:r>
        <w:rPr>
          <w:rFonts w:ascii="Times New Roman" w:hAnsi="Times New Roman" w:cs="Times New Roman"/>
          <w:sz w:val="24"/>
          <w:szCs w:val="24"/>
        </w:rPr>
        <w:t>»</w:t>
      </w:r>
      <w:r w:rsidRPr="009248D8">
        <w:rPr>
          <w:rFonts w:ascii="Times New Roman" w:hAnsi="Times New Roman" w:cs="Times New Roman"/>
          <w:sz w:val="24"/>
          <w:szCs w:val="24"/>
        </w:rPr>
        <w:t xml:space="preserve"> қаржылық мониторинг жүйесі</w:t>
      </w:r>
      <w:r>
        <w:rPr>
          <w:rFonts w:ascii="Times New Roman" w:hAnsi="Times New Roman" w:cs="Times New Roman"/>
          <w:sz w:val="24"/>
          <w:szCs w:val="24"/>
        </w:rPr>
        <w:t>»</w:t>
      </w:r>
      <w:r w:rsidRPr="009248D8">
        <w:rPr>
          <w:rFonts w:ascii="Times New Roman" w:hAnsi="Times New Roman" w:cs="Times New Roman"/>
          <w:sz w:val="24"/>
          <w:szCs w:val="24"/>
        </w:rPr>
        <w:t xml:space="preserve"> бағдарламалық қамтамасыз ету функциялары бойынша Тапсырыс берушінің пайдаланушыларының консультациялары;</w:t>
      </w:r>
    </w:p>
    <w:p w14:paraId="4EE8B91B"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2) Бағдарламалық жасақтама жұмысындағы қателерді жою;</w:t>
      </w:r>
    </w:p>
    <w:p w14:paraId="51123073"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3) Проблемалық жағдайларды талдау және жүйенің жұмысын қалыпқа келтіру бойынша ұсыныстар беру;</w:t>
      </w:r>
    </w:p>
    <w:p w14:paraId="41D99E58"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4) Реттеуші органдардың талаптарын қамтамасыз ету үшін бағдарламалық қамтамасыз етуді пысықтау;</w:t>
      </w:r>
    </w:p>
    <w:p w14:paraId="549C6564"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p>
    <w:p w14:paraId="0EEA9BDA" w14:textId="77777777" w:rsidR="009248D8" w:rsidRPr="009248D8" w:rsidRDefault="009248D8" w:rsidP="009248D8">
      <w:pPr>
        <w:tabs>
          <w:tab w:val="left" w:pos="284"/>
          <w:tab w:val="left" w:pos="426"/>
        </w:tabs>
        <w:ind w:left="720"/>
        <w:jc w:val="both"/>
        <w:rPr>
          <w:rFonts w:ascii="Times New Roman" w:hAnsi="Times New Roman" w:cs="Times New Roman"/>
          <w:b/>
          <w:sz w:val="24"/>
          <w:szCs w:val="24"/>
        </w:rPr>
      </w:pPr>
      <w:r w:rsidRPr="009248D8">
        <w:rPr>
          <w:rFonts w:ascii="Times New Roman" w:hAnsi="Times New Roman" w:cs="Times New Roman"/>
          <w:b/>
          <w:sz w:val="24"/>
          <w:szCs w:val="24"/>
        </w:rPr>
        <w:t>3. Әлеуетті жеткізушіге қойылатын талаптар</w:t>
      </w:r>
    </w:p>
    <w:p w14:paraId="5969AA99" w14:textId="7EE0E6B9"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 xml:space="preserve">1) </w:t>
      </w:r>
      <w:r>
        <w:rPr>
          <w:rFonts w:ascii="Times New Roman" w:hAnsi="Times New Roman" w:cs="Times New Roman"/>
          <w:sz w:val="24"/>
          <w:szCs w:val="24"/>
        </w:rPr>
        <w:t>«</w:t>
      </w:r>
      <w:r w:rsidRPr="009248D8">
        <w:rPr>
          <w:rFonts w:ascii="Times New Roman" w:hAnsi="Times New Roman" w:cs="Times New Roman"/>
          <w:sz w:val="24"/>
          <w:szCs w:val="24"/>
        </w:rPr>
        <w:t>VE Holding Kazakhstan</w:t>
      </w:r>
      <w:r>
        <w:rPr>
          <w:rFonts w:ascii="Times New Roman" w:hAnsi="Times New Roman" w:cs="Times New Roman"/>
          <w:sz w:val="24"/>
          <w:szCs w:val="24"/>
        </w:rPr>
        <w:t>»</w:t>
      </w:r>
      <w:r w:rsidRPr="009248D8">
        <w:rPr>
          <w:rFonts w:ascii="Times New Roman" w:hAnsi="Times New Roman" w:cs="Times New Roman"/>
          <w:sz w:val="24"/>
          <w:szCs w:val="24"/>
        </w:rPr>
        <w:t xml:space="preserve"> ЖШС компаниясының</w:t>
      </w:r>
      <w:r>
        <w:rPr>
          <w:rFonts w:ascii="Times New Roman" w:hAnsi="Times New Roman" w:cs="Times New Roman"/>
          <w:sz w:val="24"/>
          <w:szCs w:val="24"/>
        </w:rPr>
        <w:t>»</w:t>
      </w:r>
      <w:r w:rsidRPr="009248D8">
        <w:rPr>
          <w:rFonts w:ascii="Times New Roman" w:hAnsi="Times New Roman" w:cs="Times New Roman"/>
          <w:sz w:val="24"/>
          <w:szCs w:val="24"/>
        </w:rPr>
        <w:t xml:space="preserve"> AML</w:t>
      </w:r>
      <w:r>
        <w:rPr>
          <w:rFonts w:ascii="Times New Roman" w:hAnsi="Times New Roman" w:cs="Times New Roman"/>
          <w:sz w:val="24"/>
          <w:szCs w:val="24"/>
        </w:rPr>
        <w:t>»</w:t>
      </w:r>
      <w:r w:rsidRPr="009248D8">
        <w:rPr>
          <w:rFonts w:ascii="Times New Roman" w:hAnsi="Times New Roman" w:cs="Times New Roman"/>
          <w:sz w:val="24"/>
          <w:szCs w:val="24"/>
        </w:rPr>
        <w:t xml:space="preserve"> қаржы мониторингі жүйесінің</w:t>
      </w:r>
      <w:r>
        <w:rPr>
          <w:rFonts w:ascii="Times New Roman" w:hAnsi="Times New Roman" w:cs="Times New Roman"/>
          <w:sz w:val="24"/>
          <w:szCs w:val="24"/>
        </w:rPr>
        <w:t>»</w:t>
      </w:r>
      <w:r w:rsidRPr="009248D8">
        <w:rPr>
          <w:rFonts w:ascii="Times New Roman" w:hAnsi="Times New Roman" w:cs="Times New Roman"/>
          <w:sz w:val="24"/>
          <w:szCs w:val="24"/>
        </w:rPr>
        <w:t xml:space="preserve"> құқық иеленушісінен осы талаптарға сәйкес қызмет көрсетуге құжаттардың болуы.</w:t>
      </w:r>
    </w:p>
    <w:p w14:paraId="45C29675"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2) Шартқа қол қою кезінде келісілетін SLA сәйкес қызметтер көрсетуді қамтамасыз етуге міндетті.</w:t>
      </w:r>
    </w:p>
    <w:p w14:paraId="5512EF67"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p>
    <w:p w14:paraId="527727A5" w14:textId="77777777" w:rsidR="009248D8" w:rsidRPr="009248D8" w:rsidRDefault="009248D8" w:rsidP="009248D8">
      <w:pPr>
        <w:tabs>
          <w:tab w:val="left" w:pos="284"/>
          <w:tab w:val="left" w:pos="426"/>
        </w:tabs>
        <w:ind w:left="720"/>
        <w:jc w:val="both"/>
        <w:rPr>
          <w:rFonts w:ascii="Times New Roman" w:hAnsi="Times New Roman" w:cs="Times New Roman"/>
          <w:b/>
          <w:sz w:val="24"/>
          <w:szCs w:val="24"/>
        </w:rPr>
      </w:pPr>
      <w:r w:rsidRPr="009248D8">
        <w:rPr>
          <w:rFonts w:ascii="Times New Roman" w:hAnsi="Times New Roman" w:cs="Times New Roman"/>
          <w:b/>
          <w:sz w:val="24"/>
          <w:szCs w:val="24"/>
        </w:rPr>
        <w:t>4. Кепілдік шарттары.</w:t>
      </w:r>
    </w:p>
    <w:p w14:paraId="4038CDFE"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1) Әлеуетті жеткізуші сапалы және уақтылы қызмет көрсетуге кепілдік береді. Шарттың қолданылу мерзімі ішінде платформаны/сервисті тегін техникалық және сервистік қолдау.</w:t>
      </w:r>
    </w:p>
    <w:p w14:paraId="5E435613"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p>
    <w:p w14:paraId="5849F7B5" w14:textId="77777777" w:rsidR="009248D8" w:rsidRPr="009248D8" w:rsidRDefault="009248D8" w:rsidP="009248D8">
      <w:pPr>
        <w:tabs>
          <w:tab w:val="left" w:pos="284"/>
          <w:tab w:val="left" w:pos="426"/>
        </w:tabs>
        <w:ind w:left="720"/>
        <w:jc w:val="both"/>
        <w:rPr>
          <w:rFonts w:ascii="Times New Roman" w:hAnsi="Times New Roman" w:cs="Times New Roman"/>
          <w:b/>
          <w:sz w:val="24"/>
          <w:szCs w:val="24"/>
        </w:rPr>
      </w:pPr>
      <w:r w:rsidRPr="009248D8">
        <w:rPr>
          <w:rFonts w:ascii="Times New Roman" w:hAnsi="Times New Roman" w:cs="Times New Roman"/>
          <w:b/>
          <w:sz w:val="24"/>
          <w:szCs w:val="24"/>
        </w:rPr>
        <w:t>5. Қосымша шарттар.</w:t>
      </w:r>
    </w:p>
    <w:p w14:paraId="28B0CEAB"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1) Жұмыстарды орындау мерзімі мен сапасының өзгеруіне әсер етуі мүмкін ашық мәселелер, техникалық, ресурстық сипаттағы қиындықтар туралы Тапсырыс берушіні уақтылы хабардар етуге міндетті;</w:t>
      </w:r>
    </w:p>
    <w:p w14:paraId="21F54FE3"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2) Тапсырыс берушінің талабы бойынша орындалған жұмыстарға тиісті аудит жүргізу үшін қолжетімділік пен қажетті ақпаратты беруге міндетті;</w:t>
      </w:r>
    </w:p>
    <w:p w14:paraId="5B06822B" w14:textId="77777777" w:rsidR="009248D8" w:rsidRPr="009248D8" w:rsidRDefault="009248D8" w:rsidP="009248D8">
      <w:pPr>
        <w:tabs>
          <w:tab w:val="left" w:pos="284"/>
          <w:tab w:val="left" w:pos="426"/>
        </w:tabs>
        <w:ind w:left="720"/>
        <w:jc w:val="both"/>
        <w:rPr>
          <w:rFonts w:ascii="Times New Roman" w:hAnsi="Times New Roman" w:cs="Times New Roman"/>
          <w:sz w:val="24"/>
          <w:szCs w:val="24"/>
        </w:rPr>
      </w:pPr>
    </w:p>
    <w:p w14:paraId="23BC8922" w14:textId="77777777" w:rsidR="009248D8" w:rsidRPr="009248D8" w:rsidRDefault="009248D8" w:rsidP="009248D8">
      <w:pPr>
        <w:tabs>
          <w:tab w:val="left" w:pos="284"/>
          <w:tab w:val="left" w:pos="426"/>
        </w:tabs>
        <w:ind w:left="720"/>
        <w:jc w:val="both"/>
        <w:rPr>
          <w:rFonts w:ascii="Times New Roman" w:hAnsi="Times New Roman" w:cs="Times New Roman"/>
          <w:b/>
          <w:sz w:val="24"/>
          <w:szCs w:val="24"/>
        </w:rPr>
      </w:pPr>
      <w:r w:rsidRPr="009248D8">
        <w:rPr>
          <w:rFonts w:ascii="Times New Roman" w:hAnsi="Times New Roman" w:cs="Times New Roman"/>
          <w:b/>
          <w:sz w:val="24"/>
          <w:szCs w:val="24"/>
        </w:rPr>
        <w:t>6. Қабылдау-тапсыру тәртібінің сипаттамасы</w:t>
      </w:r>
    </w:p>
    <w:p w14:paraId="5C682D39" w14:textId="12E5AB35" w:rsidR="0058477C" w:rsidRPr="009248D8" w:rsidRDefault="009248D8" w:rsidP="009248D8">
      <w:pPr>
        <w:tabs>
          <w:tab w:val="left" w:pos="284"/>
          <w:tab w:val="left" w:pos="426"/>
        </w:tabs>
        <w:ind w:left="720"/>
        <w:jc w:val="both"/>
        <w:rPr>
          <w:rFonts w:ascii="Times New Roman" w:hAnsi="Times New Roman" w:cs="Times New Roman"/>
          <w:sz w:val="24"/>
          <w:szCs w:val="24"/>
        </w:rPr>
      </w:pPr>
      <w:r w:rsidRPr="009248D8">
        <w:rPr>
          <w:rFonts w:ascii="Times New Roman" w:hAnsi="Times New Roman" w:cs="Times New Roman"/>
          <w:sz w:val="24"/>
          <w:szCs w:val="24"/>
        </w:rPr>
        <w:t>1) Уәкілетті тұлғалар қол қойған көрсетілген қызметтер актісінің негізінде</w:t>
      </w:r>
    </w:p>
    <w:sectPr w:rsidR="0058477C" w:rsidRPr="009248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7C71" w14:textId="77777777" w:rsidR="00443E81" w:rsidRDefault="00443E81" w:rsidP="0087538C">
      <w:pPr>
        <w:spacing w:after="0" w:line="240" w:lineRule="auto"/>
      </w:pPr>
      <w:r>
        <w:separator/>
      </w:r>
    </w:p>
  </w:endnote>
  <w:endnote w:type="continuationSeparator" w:id="0">
    <w:p w14:paraId="39F861CF" w14:textId="77777777" w:rsidR="00443E81" w:rsidRDefault="00443E81" w:rsidP="0087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CCA0" w14:textId="77777777" w:rsidR="00443E81" w:rsidRDefault="00443E81" w:rsidP="0087538C">
      <w:pPr>
        <w:spacing w:after="0" w:line="240" w:lineRule="auto"/>
      </w:pPr>
      <w:r>
        <w:separator/>
      </w:r>
    </w:p>
  </w:footnote>
  <w:footnote w:type="continuationSeparator" w:id="0">
    <w:p w14:paraId="59627FE2" w14:textId="77777777" w:rsidR="00443E81" w:rsidRDefault="00443E81" w:rsidP="00875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96E"/>
    <w:multiLevelType w:val="hybridMultilevel"/>
    <w:tmpl w:val="01F435F0"/>
    <w:lvl w:ilvl="0" w:tplc="DBE8E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8431A1"/>
    <w:multiLevelType w:val="hybridMultilevel"/>
    <w:tmpl w:val="01F435F0"/>
    <w:lvl w:ilvl="0" w:tplc="DBE8E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596D95"/>
    <w:multiLevelType w:val="hybridMultilevel"/>
    <w:tmpl w:val="3E68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23E97"/>
    <w:multiLevelType w:val="hybridMultilevel"/>
    <w:tmpl w:val="C9D6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D7AB3"/>
    <w:multiLevelType w:val="hybridMultilevel"/>
    <w:tmpl w:val="2450750A"/>
    <w:lvl w:ilvl="0" w:tplc="86642F2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4953A8"/>
    <w:multiLevelType w:val="hybridMultilevel"/>
    <w:tmpl w:val="8C8A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3795F"/>
    <w:multiLevelType w:val="hybridMultilevel"/>
    <w:tmpl w:val="01F435F0"/>
    <w:lvl w:ilvl="0" w:tplc="DBE8E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382332"/>
    <w:multiLevelType w:val="hybridMultilevel"/>
    <w:tmpl w:val="01F435F0"/>
    <w:lvl w:ilvl="0" w:tplc="DBE8E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D93545"/>
    <w:multiLevelType w:val="hybridMultilevel"/>
    <w:tmpl w:val="48403D60"/>
    <w:lvl w:ilvl="0" w:tplc="D5FE1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1491731"/>
    <w:multiLevelType w:val="hybridMultilevel"/>
    <w:tmpl w:val="D0921B22"/>
    <w:lvl w:ilvl="0" w:tplc="A1825FB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33B27BA"/>
    <w:multiLevelType w:val="hybridMultilevel"/>
    <w:tmpl w:val="AAA89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35C54"/>
    <w:multiLevelType w:val="multilevel"/>
    <w:tmpl w:val="67E64D82"/>
    <w:lvl w:ilvl="0">
      <w:start w:val="1"/>
      <w:numFmt w:val="decimal"/>
      <w:lvlText w:val="3.%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75DC50E6"/>
    <w:multiLevelType w:val="hybridMultilevel"/>
    <w:tmpl w:val="EE9A1748"/>
    <w:lvl w:ilvl="0" w:tplc="A45A93E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12"/>
  </w:num>
  <w:num w:numId="4">
    <w:abstractNumId w:val="5"/>
  </w:num>
  <w:num w:numId="5">
    <w:abstractNumId w:val="4"/>
  </w:num>
  <w:num w:numId="6">
    <w:abstractNumId w:val="11"/>
  </w:num>
  <w:num w:numId="7">
    <w:abstractNumId w:val="3"/>
  </w:num>
  <w:num w:numId="8">
    <w:abstractNumId w:val="10"/>
  </w:num>
  <w:num w:numId="9">
    <w:abstractNumId w:val="9"/>
  </w:num>
  <w:num w:numId="10">
    <w:abstractNumId w:val="7"/>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FB"/>
    <w:rsid w:val="000214D6"/>
    <w:rsid w:val="000568C1"/>
    <w:rsid w:val="000D6E0F"/>
    <w:rsid w:val="000D72E2"/>
    <w:rsid w:val="0012204C"/>
    <w:rsid w:val="0013733E"/>
    <w:rsid w:val="001807D7"/>
    <w:rsid w:val="00185132"/>
    <w:rsid w:val="001B6CFA"/>
    <w:rsid w:val="001F434F"/>
    <w:rsid w:val="002B031B"/>
    <w:rsid w:val="002B303B"/>
    <w:rsid w:val="003D58C1"/>
    <w:rsid w:val="003F347F"/>
    <w:rsid w:val="0040776E"/>
    <w:rsid w:val="00443E81"/>
    <w:rsid w:val="004C6FC5"/>
    <w:rsid w:val="00530676"/>
    <w:rsid w:val="00562C25"/>
    <w:rsid w:val="0058477C"/>
    <w:rsid w:val="005F60BC"/>
    <w:rsid w:val="00642476"/>
    <w:rsid w:val="00652A68"/>
    <w:rsid w:val="00674A5F"/>
    <w:rsid w:val="006801E0"/>
    <w:rsid w:val="006D37E2"/>
    <w:rsid w:val="00701D27"/>
    <w:rsid w:val="007B22D5"/>
    <w:rsid w:val="008047F1"/>
    <w:rsid w:val="0085069B"/>
    <w:rsid w:val="00861C72"/>
    <w:rsid w:val="008634CE"/>
    <w:rsid w:val="0087538C"/>
    <w:rsid w:val="0091032E"/>
    <w:rsid w:val="009248D8"/>
    <w:rsid w:val="00982C80"/>
    <w:rsid w:val="009B79B5"/>
    <w:rsid w:val="009F5A9A"/>
    <w:rsid w:val="00A11671"/>
    <w:rsid w:val="00AD586C"/>
    <w:rsid w:val="00AE7A5D"/>
    <w:rsid w:val="00B11AFE"/>
    <w:rsid w:val="00BA63FB"/>
    <w:rsid w:val="00BC1958"/>
    <w:rsid w:val="00CB25B8"/>
    <w:rsid w:val="00CC6ABE"/>
    <w:rsid w:val="00D426F3"/>
    <w:rsid w:val="00DA1792"/>
    <w:rsid w:val="00E14C26"/>
    <w:rsid w:val="00E16082"/>
    <w:rsid w:val="00E21292"/>
    <w:rsid w:val="00E27495"/>
    <w:rsid w:val="00E3367C"/>
    <w:rsid w:val="00F0552A"/>
    <w:rsid w:val="00F40907"/>
    <w:rsid w:val="00F50E83"/>
    <w:rsid w:val="00F76A78"/>
    <w:rsid w:val="00FA758A"/>
    <w:rsid w:val="00FD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93A"/>
  <w15:docId w15:val="{28CECBE9-E30B-481E-A9DF-645344B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FB"/>
    <w:pPr>
      <w:ind w:left="720"/>
      <w:contextualSpacing/>
    </w:pPr>
  </w:style>
  <w:style w:type="paragraph" w:styleId="a4">
    <w:name w:val="header"/>
    <w:basedOn w:val="a"/>
    <w:link w:val="a5"/>
    <w:uiPriority w:val="99"/>
    <w:unhideWhenUsed/>
    <w:rsid w:val="00875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38C"/>
  </w:style>
  <w:style w:type="paragraph" w:styleId="a6">
    <w:name w:val="footer"/>
    <w:basedOn w:val="a"/>
    <w:link w:val="a7"/>
    <w:uiPriority w:val="99"/>
    <w:unhideWhenUsed/>
    <w:rsid w:val="00875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38C"/>
  </w:style>
  <w:style w:type="paragraph" w:styleId="a8">
    <w:name w:val="Balloon Text"/>
    <w:basedOn w:val="a"/>
    <w:link w:val="a9"/>
    <w:uiPriority w:val="99"/>
    <w:semiHidden/>
    <w:unhideWhenUsed/>
    <w:rsid w:val="00701D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1D27"/>
    <w:rPr>
      <w:rFonts w:ascii="Segoe UI" w:hAnsi="Segoe UI" w:cs="Segoe UI"/>
      <w:sz w:val="18"/>
      <w:szCs w:val="18"/>
    </w:rPr>
  </w:style>
  <w:style w:type="character" w:styleId="aa">
    <w:name w:val="annotation reference"/>
    <w:basedOn w:val="a0"/>
    <w:uiPriority w:val="99"/>
    <w:semiHidden/>
    <w:unhideWhenUsed/>
    <w:rsid w:val="007B22D5"/>
    <w:rPr>
      <w:sz w:val="16"/>
      <w:szCs w:val="16"/>
    </w:rPr>
  </w:style>
  <w:style w:type="paragraph" w:styleId="ab">
    <w:name w:val="annotation text"/>
    <w:basedOn w:val="a"/>
    <w:link w:val="ac"/>
    <w:uiPriority w:val="99"/>
    <w:semiHidden/>
    <w:unhideWhenUsed/>
    <w:rsid w:val="007B22D5"/>
    <w:pPr>
      <w:spacing w:line="240" w:lineRule="auto"/>
    </w:pPr>
    <w:rPr>
      <w:sz w:val="20"/>
      <w:szCs w:val="20"/>
    </w:rPr>
  </w:style>
  <w:style w:type="character" w:customStyle="1" w:styleId="ac">
    <w:name w:val="Текст примечания Знак"/>
    <w:basedOn w:val="a0"/>
    <w:link w:val="ab"/>
    <w:uiPriority w:val="99"/>
    <w:semiHidden/>
    <w:rsid w:val="007B22D5"/>
    <w:rPr>
      <w:sz w:val="20"/>
      <w:szCs w:val="20"/>
    </w:rPr>
  </w:style>
  <w:style w:type="paragraph" w:styleId="ad">
    <w:name w:val="annotation subject"/>
    <w:basedOn w:val="ab"/>
    <w:next w:val="ab"/>
    <w:link w:val="ae"/>
    <w:uiPriority w:val="99"/>
    <w:semiHidden/>
    <w:unhideWhenUsed/>
    <w:rsid w:val="007B22D5"/>
    <w:rPr>
      <w:b/>
      <w:bCs/>
    </w:rPr>
  </w:style>
  <w:style w:type="character" w:customStyle="1" w:styleId="ae">
    <w:name w:val="Тема примечания Знак"/>
    <w:basedOn w:val="ac"/>
    <w:link w:val="ad"/>
    <w:uiPriority w:val="99"/>
    <w:semiHidden/>
    <w:rsid w:val="007B22D5"/>
    <w:rPr>
      <w:b/>
      <w:bCs/>
      <w:sz w:val="20"/>
      <w:szCs w:val="20"/>
    </w:rPr>
  </w:style>
  <w:style w:type="paragraph" w:styleId="af">
    <w:name w:val="Normal (Web)"/>
    <w:basedOn w:val="a"/>
    <w:uiPriority w:val="99"/>
    <w:semiHidden/>
    <w:unhideWhenUsed/>
    <w:rsid w:val="00BC1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B031B"/>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3509">
      <w:bodyDiv w:val="1"/>
      <w:marLeft w:val="0"/>
      <w:marRight w:val="0"/>
      <w:marTop w:val="0"/>
      <w:marBottom w:val="0"/>
      <w:divBdr>
        <w:top w:val="none" w:sz="0" w:space="0" w:color="auto"/>
        <w:left w:val="none" w:sz="0" w:space="0" w:color="auto"/>
        <w:bottom w:val="none" w:sz="0" w:space="0" w:color="auto"/>
        <w:right w:val="none" w:sz="0" w:space="0" w:color="auto"/>
      </w:divBdr>
    </w:div>
    <w:div w:id="392849012">
      <w:bodyDiv w:val="1"/>
      <w:marLeft w:val="0"/>
      <w:marRight w:val="0"/>
      <w:marTop w:val="0"/>
      <w:marBottom w:val="0"/>
      <w:divBdr>
        <w:top w:val="none" w:sz="0" w:space="0" w:color="auto"/>
        <w:left w:val="none" w:sz="0" w:space="0" w:color="auto"/>
        <w:bottom w:val="none" w:sz="0" w:space="0" w:color="auto"/>
        <w:right w:val="none" w:sz="0" w:space="0" w:color="auto"/>
      </w:divBdr>
    </w:div>
    <w:div w:id="1362167374">
      <w:bodyDiv w:val="1"/>
      <w:marLeft w:val="0"/>
      <w:marRight w:val="0"/>
      <w:marTop w:val="0"/>
      <w:marBottom w:val="0"/>
      <w:divBdr>
        <w:top w:val="none" w:sz="0" w:space="0" w:color="auto"/>
        <w:left w:val="none" w:sz="0" w:space="0" w:color="auto"/>
        <w:bottom w:val="none" w:sz="0" w:space="0" w:color="auto"/>
        <w:right w:val="none" w:sz="0" w:space="0" w:color="auto"/>
      </w:divBdr>
    </w:div>
    <w:div w:id="1755781838">
      <w:bodyDiv w:val="1"/>
      <w:marLeft w:val="0"/>
      <w:marRight w:val="0"/>
      <w:marTop w:val="0"/>
      <w:marBottom w:val="0"/>
      <w:divBdr>
        <w:top w:val="none" w:sz="0" w:space="0" w:color="auto"/>
        <w:left w:val="none" w:sz="0" w:space="0" w:color="auto"/>
        <w:bottom w:val="none" w:sz="0" w:space="0" w:color="auto"/>
        <w:right w:val="none" w:sz="0" w:space="0" w:color="auto"/>
      </w:divBdr>
    </w:div>
    <w:div w:id="21049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Галай Сергей Владимирович</dc:creator>
  <cp:lastModifiedBy>Карпенко Игорь Андреевич</cp:lastModifiedBy>
  <cp:revision>2</cp:revision>
  <dcterms:created xsi:type="dcterms:W3CDTF">2023-04-06T11:39:00Z</dcterms:created>
  <dcterms:modified xsi:type="dcterms:W3CDTF">2023-04-06T11:39:00Z</dcterms:modified>
</cp:coreProperties>
</file>